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374 vom 10. November 1978</w:t>
      </w:r>
    </w:p>
    <w:p>
      <w:r>
        <w:t>Bundesgericht (BGE), 1978-11-10, DE</w:t>
      </w:r>
    </w:p>
    <w:p>
      <w:r>
        <w:rPr>
          <w:b/>
        </w:rPr>
        <w:t xml:space="preserve">Quelle: </w:t>
      </w:r>
      <w:r>
        <w:t>https://mcp.opencaselaw.ch/entscheid/bge_104 IB 374</w:t>
      </w:r>
    </w:p>
    <w:p>
      <w:r>
        <w:t>FR: BGE 104 IB 374 du 10 novembre 1978</w:t>
      </w:r>
    </w:p>
    <w:p>
      <w:r>
        <w:t>IT: BGE 104 IB 374 del 10 novembre 1978</w:t>
      </w:r>
    </w:p>
    <w:p>
      <w:pPr>
        <w:pStyle w:val="Heading2"/>
      </w:pPr>
      <w:r>
        <w:t>Regeste</w:t>
      </w:r>
    </w:p>
    <w:p>
      <w:r>
        <w:t>Regeste Gewässerschutz. - Art. 20 GSchG bezieht sich, gleich wie Art. 19 GSchG, auf Bauten und Anlagen aller Art, also auch auf solche, aus denen kein Abwasser anfällt (E. 1a). - Begriff der Anlage im Sinne von Art. 20 GSchG (E. 1b).</w:t>
      </w:r>
    </w:p>
    <w:p>
      <w:pPr>
        <w:pStyle w:val="Heading2"/>
      </w:pPr>
      <w:r>
        <w:t>Erwägungen</w:t>
      </w:r>
    </w:p>
    <w:p>
      <w:r>
        <w:rPr>
          <w:b/>
        </w:rPr>
        <w:t>E. 1</w:t>
      </w:r>
    </w:p>
    <w:p>
      <w:r>
        <w:t>Es ist unbestritten, dass sich der Lagerplatz der Beschwerdeführerin ausserhalb des GKP der Gemeinde Wangen befindet und dass in diesem Gebiet Baubewilligungen für Gebäude und Anlagen im Sinne von Art. 20 GSchG nur erteilt werden dürfen, wenn ein sachlich begründetes Bedürfnis nachgewiesen wird. Die Beschwerdeführerin macht jedoch geltend, das GSchG sei auf ihren Lagerplatz und die darauf stehenden Bauten nicht anwendbar, weil daraus kein Abwasser anfalle. Im übrigen ist sie der Ansicht, der Lagerplatz könne nicht als Anlage im Sinne des Gesetzes betrachtet werden. a) Das Bundesgericht hat im unveröffentlichten Urteil Weber vom 11. Oktober 1974 festgehalten, Art. 20 GSchG beziehe sich, gleich wie Art. 19 GSchG , auf "Bauten und Anlagen aller Art", also auch auf Bauten und Anlagen, aus denen kein Abwasser anfalle. An dieser Rechtsprechung ist festzuhalten. Es sollen grundsätzlich alle Bauten und Anlagen, für die nicht ein sachlich begründetes Bedürfnis nachzuweisen ist, in den Bauzonen konzentriert werden, ohne Rücksicht darauf, ob die Bauten oder Anlagen eine konkrete gewässerpolizeiliche Gefahr mit sich bringen. Bei der Schaffung von Art. 20 GSchG BGE 104 Ib 374 S. 376 wurden nicht nur gewässerpolizeiliche, sondern auch raumplanerische Ziele verfolgt ( BGE 103 Ib 113 , BGE 100 Ib 91 ). Der Bund war im Zeitpunkt des Erlasses des Gewässerschutzgesetzes (8. Oktober 1971) bereits befugt, über den Gewässerschutz hinaus im Rahmen der Art. 22quater BV und 24septies BV raumplanerische Ziele sowie Ziele des Umweltschutzes zu verfolgen. Es entspricht einer verfassungskonformen Auslegung, wenn angenommen wird, Art. 20 GSchG müsse auch dann angewandt werden, wenn im Einzelfall nicht dargetan ist, dass von der Baute oder Anlage eine konkrete Gefährdung für ein ober- oder unterirdisches Gewässer ausgeht. Bei dieser Rechtslage ist es unter dem Gesichtspunkt von Art. 20 GSchG unerheblich, ob beim Lagerplatz der Beschwerdeführerin Abwasser anfallen oder nicht. Die allgemeine Lebenserfahrung zeigt zwar, dass auf dem Lagerplatz einer Bauunternehmung immer mit Schmutzwasser oder Verlusten von wassergefährdenden Flüssigkeiten zu rechnen ist und dass diese Einrichtungen daher eine latente Gefährdung für das Grundwasser in sich schliessen. Nach der zitierten Rechtsprechung braucht aber nicht geprüft zu werden, wie konkret diese Gefährdung im vorliegenden Fall ist, da Gebäude und Anlagen ausserhalb des GKP auch ohne Nachweis einer solchen Gefährdung unter die Bestimmung von Art. 20 GSchG fallen. b) Die Beschwerdeführerin wendet ein, sie habe keine Anlage im Sinne von Art. 20 GSchG erstellt. Der Begriff der Anlage sei im GSchG der gleiche wie im BMR und gemäss Art. 6 Abs. 2 der Vollziehungsverordnung zum BMR könne man nur "bei erheblichen Geländeveränderungen" von einer Anlage sprechen. Dieses Argument ist nicht stichhaltig, denn Art. 6 Abs. 2 dieser Verordnung zählt nur Beispiele auf, die unter den Begriff der Anlage fallen. Diese Aufzählung ist aber nicht abschliessend. Das Bundesgericht hat im übrigen den Begriff der Anlage im GSchG und im BMR nach dem Sinn und Zweck der beiden Erlasse zu beurteilen. Art. 20 GSchG stellt die Anlagen den Gebäuden gleich und lässt beide ausserhalb des GKP nur zu, wenn ein sachlich begründetes Bedürfnis nachgewiesen wird. Aus dieser Gleichstellung muss geschlossen werden, dass eine Einrichtung dann als Anlage im Sinne des Gesetzes zu qualifizieren ist, wenn ihre Wirkung, insbesondere in bezug auf die Gewässer und die Raumordnung ähnlich ist wie diejenige von Gebäuden. BGE 104 Ib 374 S. 377 Die Beschwerdeführerin hat zur Einrichtung ihres Lagerplatzes Kies aufgeschüttet sowie eine Baracke und einen Unterstand aufgebaut. Sie lagert auf diesem Areal Baumaschinen und Baumaterial sowie nicht mehr verwendbare Maschinen und Materialien ab. Eine Einrichtung von diesem Ausmass und solcher Ausstattung hat in gewässerpolizeilicher und raumplanerischer Hinsicht eine ähnliche Wirkung wie ein Gebäude. Sie kann in gleicher Weise, oder möglicherweise noch stärker als ein Gebäude, die Landschaft verunstalten und bringt eine, mindestens latente Gefährdung der Gewässer mit sich. Der Lagerplatz der Beschwerdeführerin ist daher als Anlage im Sinne von Art. 20 GSchG zu betrachten. c) Die Beschwerdeführerin hat für ihren Lagerplatz kein sachlich begründetes Bedürfnis im Sinne der bundesgerichtlichen Rechtsprechung dargetan. Der Regierungsrat konnte daher ohne Bundesrechtsverletzung die Aufhebung dieses Lagerplatzes und die Entfernung sämtlicher Materialien, die sich darauf befinden, verlangen. Unter dem Gesichtspunkt der Angemessenheit, welche das Bundesgericht im Bereiche des GSchG überprüfen kann ( Art. 10 GSchG ), ist der regierungsrätliche Entscheid ebenfalls nicht zu beanstanden, denn die vom Gesetz geforderte Ordnung kann grundsätzlich nicht ohne Abräumung des Lagerplatzes verwirklicht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